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EC8006">
      <w:pPr>
        <w:snapToGrid w:val="0"/>
        <w:spacing w:before="120" w:after="120" w:line="360" w:lineRule="auto"/>
        <w:jc w:val="center"/>
        <w:outlineLvl w:val="0"/>
        <w:rPr>
          <w:rFonts w:hint="eastAsia" w:ascii="仿宋" w:hAnsi="仿宋" w:eastAsia="仿宋" w:cs="仿宋"/>
          <w:bCs/>
          <w:color w:val="auto"/>
          <w:sz w:val="44"/>
          <w:szCs w:val="21"/>
          <w:highlight w:val="none"/>
        </w:rPr>
      </w:pPr>
      <w:bookmarkStart w:id="0" w:name="_GoBack"/>
      <w:r>
        <w:rPr>
          <w:rFonts w:hint="eastAsia" w:ascii="仿宋" w:hAnsi="仿宋" w:eastAsia="仿宋" w:cs="仿宋"/>
          <w:bCs/>
          <w:color w:val="auto"/>
          <w:sz w:val="44"/>
          <w:szCs w:val="21"/>
          <w:highlight w:val="none"/>
        </w:rPr>
        <w:t>采购需求</w:t>
      </w:r>
    </w:p>
    <w:p w14:paraId="393F8B6B">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120" w:after="120" w:line="50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项目属性：</w:t>
      </w:r>
      <w:r>
        <w:rPr>
          <w:rFonts w:hint="eastAsia" w:ascii="仿宋" w:hAnsi="仿宋" w:eastAsia="仿宋" w:cs="仿宋"/>
          <w:color w:val="auto"/>
          <w:sz w:val="24"/>
          <w:highlight w:val="none"/>
          <w:u w:val="single"/>
        </w:rPr>
        <w:t>货物类项目</w:t>
      </w:r>
    </w:p>
    <w:p w14:paraId="40CA0C8A">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120" w:after="120" w:line="50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本项目采购标的对应的中小企业划分标准所属行业：</w:t>
      </w:r>
      <w:r>
        <w:rPr>
          <w:rFonts w:hint="eastAsia" w:ascii="仿宋" w:hAnsi="仿宋" w:eastAsia="仿宋" w:cs="仿宋"/>
          <w:color w:val="auto"/>
          <w:sz w:val="24"/>
          <w:highlight w:val="none"/>
          <w:u w:val="single"/>
        </w:rPr>
        <w:t>工业（制造业）</w:t>
      </w:r>
    </w:p>
    <w:p w14:paraId="0B9D038C">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120" w:after="120"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w:t>
      </w:r>
      <w:r>
        <w:rPr>
          <w:rFonts w:hint="eastAsia" w:ascii="仿宋" w:hAnsi="仿宋" w:eastAsia="仿宋" w:cs="仿宋"/>
          <w:color w:val="auto"/>
          <w:sz w:val="24"/>
          <w:highlight w:val="none"/>
          <w:u w:val="single"/>
        </w:rPr>
        <w:t xml:space="preserve"> 不接受 </w:t>
      </w:r>
      <w:r>
        <w:rPr>
          <w:rFonts w:hint="eastAsia" w:ascii="仿宋" w:hAnsi="仿宋" w:eastAsia="仿宋" w:cs="仿宋"/>
          <w:color w:val="auto"/>
          <w:sz w:val="24"/>
          <w:highlight w:val="none"/>
        </w:rPr>
        <w:t>进口产品。</w:t>
      </w:r>
    </w:p>
    <w:p w14:paraId="45B9B5B3">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120" w:after="120" w:line="500" w:lineRule="exact"/>
        <w:ind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★注：本项目采购需求对应的内容及要求，供应商应完全响应并出具</w:t>
      </w:r>
      <w:r>
        <w:rPr>
          <w:rFonts w:hint="eastAsia" w:ascii="仿宋" w:hAnsi="仿宋" w:eastAsia="仿宋" w:cs="仿宋"/>
          <w:b/>
          <w:bCs/>
          <w:color w:val="auto"/>
          <w:sz w:val="24"/>
          <w:highlight w:val="none"/>
          <w:lang w:val="en-US" w:eastAsia="zh-CN"/>
        </w:rPr>
        <w:t>采购需求</w:t>
      </w:r>
      <w:r>
        <w:rPr>
          <w:rFonts w:hint="eastAsia" w:ascii="仿宋" w:hAnsi="仿宋" w:eastAsia="仿宋" w:cs="仿宋"/>
          <w:b/>
          <w:bCs/>
          <w:color w:val="auto"/>
          <w:sz w:val="24"/>
          <w:highlight w:val="none"/>
        </w:rPr>
        <w:t>承诺函（详见响应文件格式），否则视为无效标。</w:t>
      </w:r>
    </w:p>
    <w:p w14:paraId="0FB2F772">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一、项目概况及要求</w:t>
      </w:r>
    </w:p>
    <w:p w14:paraId="0AED3FC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val="en-US" w:eastAsia="zh-CN"/>
        </w:rPr>
        <w:t>.</w:t>
      </w:r>
      <w:r>
        <w:rPr>
          <w:rFonts w:hint="eastAsia" w:ascii="仿宋" w:hAnsi="仿宋" w:eastAsia="仿宋" w:cs="仿宋"/>
          <w:bCs/>
          <w:color w:val="auto"/>
          <w:sz w:val="24"/>
          <w:szCs w:val="24"/>
          <w:highlight w:val="none"/>
        </w:rPr>
        <w:t>项目名称：</w:t>
      </w:r>
      <w:r>
        <w:rPr>
          <w:rFonts w:hint="eastAsia" w:ascii="仿宋" w:hAnsi="仿宋" w:eastAsia="仿宋" w:cs="仿宋"/>
          <w:bCs/>
          <w:color w:val="auto"/>
          <w:sz w:val="24"/>
          <w:szCs w:val="24"/>
          <w:highlight w:val="none"/>
          <w:lang w:eastAsia="zh-CN"/>
        </w:rPr>
        <w:t>洋河新区2025年农业生产物资采购项目</w:t>
      </w:r>
    </w:p>
    <w:p w14:paraId="256A3ED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r>
        <w:rPr>
          <w:rFonts w:hint="eastAsia" w:ascii="仿宋" w:hAnsi="仿宋" w:eastAsia="仿宋" w:cs="仿宋"/>
          <w:bCs/>
          <w:color w:val="auto"/>
          <w:sz w:val="24"/>
          <w:szCs w:val="24"/>
          <w:highlight w:val="none"/>
          <w:lang w:val="en-US" w:eastAsia="zh-CN"/>
        </w:rPr>
        <w:t>.</w:t>
      </w:r>
      <w:r>
        <w:rPr>
          <w:rFonts w:hint="eastAsia" w:ascii="仿宋" w:hAnsi="仿宋" w:eastAsia="仿宋" w:cs="仿宋"/>
          <w:bCs/>
          <w:color w:val="auto"/>
          <w:sz w:val="24"/>
          <w:szCs w:val="24"/>
          <w:highlight w:val="none"/>
        </w:rPr>
        <w:t>最高限价：</w:t>
      </w:r>
    </w:p>
    <w:p w14:paraId="20D07CB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采购包1：总含量≥14%的井冈·氟环唑悬浮剂采购，预算总价：7.44万元，最高限价单价18.7元/瓶（100g/瓶），投标报价高于最高限价单价按无效标处理。</w:t>
      </w:r>
    </w:p>
    <w:p w14:paraId="45DB121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采购包2：磷酸二氢钾复配制剂采购，预算总价：12万元，最高限价单价2.5元/瓶（100g/瓶），投标报价高于最高限价单价按无效标处理。</w:t>
      </w:r>
    </w:p>
    <w:p w14:paraId="5E00492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采购包3：0.01%24-表芸苔素内酯可溶液剂采购，预算总价：6万元，最高限价单价6.4元/瓶（100ml/瓶），投标报价高于最高限价单价按无效标处理。</w:t>
      </w:r>
    </w:p>
    <w:p w14:paraId="6E3F9A6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采购包4：30%吡蚜·噻虫胺（含25%吡蚜酮，5%噻虫胺）悬浮剂或水分散粒剂采购，预算总价：32万元，最高限价单价42元/瓶（240g/瓶），投标报价高于最高限价单价按无效标处理。</w:t>
      </w:r>
    </w:p>
    <w:p w14:paraId="3143866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采购包5：19%丙环·嘧菌酯悬乳剂采购，预算总价：30万元，最高限价单价5.8元/瓶（40g/瓶），投标报价高于最高限价单价按无效标处理。</w:t>
      </w:r>
    </w:p>
    <w:p w14:paraId="46B0E4D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采购包6：总含量≥20%的咪鲜·嘧菌酯采购，预算总价：32万元，最高限价单价6元/瓶（40g/瓶），投标报价高于最高限价单价按无效标处理。</w:t>
      </w:r>
    </w:p>
    <w:p w14:paraId="415997B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（各采购包预算总价不变，报单价，以满足采购文件实质性响应要求的最低单价成交）</w:t>
      </w:r>
    </w:p>
    <w:p w14:paraId="388002A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3.质量要求：合格</w:t>
      </w:r>
    </w:p>
    <w:p w14:paraId="33C4C7F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4.质保期：一年（如果原厂免费质保期大于要求的质保期，以原厂免费质保期为准），其中产品交付采购人时</w:t>
      </w:r>
      <w:r>
        <w:rPr>
          <w:rFonts w:hint="eastAsia" w:ascii="仿宋" w:hAnsi="仿宋" w:eastAsia="仿宋" w:cs="仿宋"/>
          <w:color w:val="auto"/>
          <w:sz w:val="24"/>
          <w:szCs w:val="24"/>
          <w:highlight w:val="none"/>
          <w:lang w:val="en-US" w:eastAsia="zh-CN"/>
        </w:rPr>
        <w:t>距离质保期到期剩余时间不少于一年</w:t>
      </w:r>
      <w:r>
        <w:rPr>
          <w:rFonts w:hint="eastAsia" w:ascii="仿宋" w:hAnsi="仿宋" w:eastAsia="仿宋" w:cs="仿宋"/>
          <w:bCs/>
          <w:color w:val="auto"/>
          <w:sz w:val="24"/>
          <w:szCs w:val="24"/>
          <w:highlight w:val="none"/>
          <w:lang w:val="en-US" w:eastAsia="zh-CN"/>
        </w:rPr>
        <w:t>。</w:t>
      </w:r>
    </w:p>
    <w:p w14:paraId="151784C4">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二、付款方式</w:t>
      </w:r>
    </w:p>
    <w:p w14:paraId="57A8B8C8">
      <w:pPr>
        <w:spacing w:line="560" w:lineRule="exact"/>
        <w:ind w:firstLine="48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预付款：合同金额的</w:t>
      </w:r>
      <w:r>
        <w:rPr>
          <w:rFonts w:hint="eastAsia" w:ascii="仿宋" w:hAnsi="仿宋" w:eastAsia="仿宋" w:cs="仿宋"/>
          <w:bCs/>
          <w:color w:val="auto"/>
          <w:sz w:val="24"/>
          <w:highlight w:val="none"/>
          <w:u w:val="single"/>
        </w:rPr>
        <w:t xml:space="preserve"> 30 </w:t>
      </w:r>
      <w:r>
        <w:rPr>
          <w:rFonts w:hint="eastAsia" w:ascii="仿宋" w:hAnsi="仿宋" w:eastAsia="仿宋" w:cs="仿宋"/>
          <w:bCs/>
          <w:color w:val="auto"/>
          <w:sz w:val="24"/>
          <w:highlight w:val="none"/>
        </w:rPr>
        <w:t>%，合同签订后按规定支付；</w:t>
      </w:r>
    </w:p>
    <w:p w14:paraId="216FC543">
      <w:pPr>
        <w:spacing w:line="560" w:lineRule="exact"/>
        <w:ind w:firstLine="480"/>
        <w:rPr>
          <w:rFonts w:hint="eastAsia" w:ascii="仿宋" w:hAnsi="仿宋" w:eastAsia="仿宋" w:cs="仿宋"/>
          <w:bCs/>
          <w:color w:val="auto"/>
          <w:sz w:val="24"/>
          <w:highlight w:val="none"/>
          <w:u w:val="none"/>
          <w:lang w:val="en-US" w:eastAsia="zh-CN"/>
        </w:rPr>
      </w:pPr>
      <w:r>
        <w:rPr>
          <w:rFonts w:hint="eastAsia" w:ascii="仿宋" w:hAnsi="仿宋" w:eastAsia="仿宋" w:cs="仿宋"/>
          <w:bCs/>
          <w:color w:val="auto"/>
          <w:sz w:val="24"/>
          <w:highlight w:val="none"/>
        </w:rPr>
        <w:t>进度款：</w:t>
      </w:r>
      <w:r>
        <w:rPr>
          <w:rFonts w:hint="eastAsia" w:ascii="仿宋" w:hAnsi="仿宋" w:eastAsia="仿宋" w:cs="仿宋"/>
          <w:bCs/>
          <w:color w:val="auto"/>
          <w:sz w:val="24"/>
          <w:highlight w:val="none"/>
          <w:u w:val="none"/>
        </w:rPr>
        <w:t>供货完成经验收合格且收到</w:t>
      </w:r>
      <w:r>
        <w:rPr>
          <w:rFonts w:hint="eastAsia" w:ascii="仿宋" w:hAnsi="仿宋" w:eastAsia="仿宋" w:cs="仿宋"/>
          <w:bCs/>
          <w:color w:val="auto"/>
          <w:sz w:val="24"/>
          <w:highlight w:val="none"/>
          <w:u w:val="none"/>
          <w:lang w:val="en-US" w:eastAsia="zh-CN"/>
        </w:rPr>
        <w:t>供应商</w:t>
      </w:r>
      <w:r>
        <w:rPr>
          <w:rFonts w:hint="eastAsia" w:ascii="仿宋" w:hAnsi="仿宋" w:eastAsia="仿宋" w:cs="仿宋"/>
          <w:bCs/>
          <w:color w:val="auto"/>
          <w:sz w:val="24"/>
          <w:highlight w:val="none"/>
          <w:u w:val="none"/>
        </w:rPr>
        <w:t>发票后10个工作日内支付至合同总额100%</w:t>
      </w:r>
      <w:r>
        <w:rPr>
          <w:rFonts w:hint="eastAsia" w:ascii="仿宋" w:hAnsi="仿宋" w:eastAsia="仿宋" w:cs="仿宋"/>
          <w:bCs/>
          <w:color w:val="auto"/>
          <w:sz w:val="24"/>
          <w:highlight w:val="none"/>
          <w:u w:val="none"/>
          <w:lang w:val="en-US" w:eastAsia="zh-CN"/>
        </w:rPr>
        <w:t>。</w:t>
      </w:r>
    </w:p>
    <w:p w14:paraId="161A9BE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注：在签订合同时，</w:t>
      </w:r>
      <w:r>
        <w:rPr>
          <w:rFonts w:hint="eastAsia" w:ascii="仿宋" w:hAnsi="仿宋" w:eastAsia="仿宋" w:cs="仿宋"/>
          <w:bCs/>
          <w:color w:val="auto"/>
          <w:sz w:val="24"/>
          <w:szCs w:val="24"/>
          <w:highlight w:val="none"/>
          <w:lang w:eastAsia="zh-CN"/>
        </w:rPr>
        <w:t>成交供应商</w:t>
      </w:r>
      <w:r>
        <w:rPr>
          <w:rFonts w:hint="eastAsia" w:ascii="仿宋" w:hAnsi="仿宋" w:eastAsia="仿宋" w:cs="仿宋"/>
          <w:bCs/>
          <w:color w:val="auto"/>
          <w:sz w:val="24"/>
          <w:szCs w:val="24"/>
          <w:highlight w:val="none"/>
        </w:rPr>
        <w:t>明确表示无需预付款或者主动要求降低预付款比例的金额，采购人可不适用预付款规定。</w:t>
      </w:r>
    </w:p>
    <w:p w14:paraId="39F8BDA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highlight w:val="none"/>
        </w:rPr>
        <w:t>对于满足合同约定支付条件的，自收到发票后10个工作日内将资金支付到合同约定的供应商账户或供应商数字人民币账户</w:t>
      </w:r>
      <w:r>
        <w:rPr>
          <w:rFonts w:hint="eastAsia" w:ascii="仿宋" w:hAnsi="仿宋" w:eastAsia="仿宋" w:cs="仿宋"/>
          <w:bCs/>
          <w:color w:val="auto"/>
          <w:sz w:val="24"/>
          <w:szCs w:val="24"/>
          <w:highlight w:val="none"/>
        </w:rPr>
        <w:t>。</w:t>
      </w:r>
    </w:p>
    <w:p w14:paraId="6B3FC84E">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三、合同履行</w:t>
      </w:r>
    </w:p>
    <w:p w14:paraId="4248BFF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val="en-US" w:eastAsia="zh-CN"/>
        </w:rPr>
        <w:t>.</w:t>
      </w:r>
      <w:r>
        <w:rPr>
          <w:rFonts w:hint="eastAsia" w:ascii="仿宋" w:hAnsi="仿宋" w:eastAsia="仿宋" w:cs="仿宋"/>
          <w:bCs/>
          <w:color w:val="auto"/>
          <w:sz w:val="24"/>
          <w:szCs w:val="24"/>
          <w:highlight w:val="none"/>
        </w:rPr>
        <w:t>合同履行期限：</w:t>
      </w:r>
      <w:r>
        <w:rPr>
          <w:rFonts w:hint="eastAsia" w:ascii="仿宋" w:hAnsi="仿宋" w:eastAsia="仿宋" w:cs="仿宋"/>
          <w:bCs/>
          <w:color w:val="auto"/>
          <w:sz w:val="24"/>
          <w:szCs w:val="24"/>
          <w:highlight w:val="none"/>
          <w:lang w:eastAsia="zh-CN"/>
        </w:rPr>
        <w:t>合同签订之日起15日历天内供货完毕</w:t>
      </w:r>
      <w:r>
        <w:rPr>
          <w:rFonts w:hint="eastAsia" w:ascii="仿宋" w:hAnsi="仿宋" w:eastAsia="仿宋" w:cs="仿宋"/>
          <w:bCs/>
          <w:color w:val="auto"/>
          <w:sz w:val="24"/>
          <w:szCs w:val="24"/>
          <w:highlight w:val="none"/>
        </w:rPr>
        <w:t>。</w:t>
      </w:r>
    </w:p>
    <w:p w14:paraId="13EB17C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r>
        <w:rPr>
          <w:rFonts w:hint="eastAsia" w:ascii="仿宋" w:hAnsi="仿宋" w:eastAsia="仿宋" w:cs="仿宋"/>
          <w:bCs/>
          <w:color w:val="auto"/>
          <w:sz w:val="24"/>
          <w:szCs w:val="24"/>
          <w:highlight w:val="none"/>
          <w:lang w:val="en-US" w:eastAsia="zh-CN"/>
        </w:rPr>
        <w:t>.</w:t>
      </w:r>
      <w:r>
        <w:rPr>
          <w:rFonts w:hint="eastAsia" w:ascii="仿宋" w:hAnsi="仿宋" w:eastAsia="仿宋" w:cs="仿宋"/>
          <w:bCs/>
          <w:color w:val="auto"/>
          <w:sz w:val="24"/>
          <w:szCs w:val="24"/>
          <w:highlight w:val="none"/>
        </w:rPr>
        <w:t>供货地点：</w:t>
      </w:r>
      <w:r>
        <w:rPr>
          <w:rFonts w:hint="eastAsia" w:ascii="仿宋" w:hAnsi="仿宋" w:eastAsia="仿宋" w:cs="仿宋"/>
          <w:bCs/>
          <w:color w:val="auto"/>
          <w:sz w:val="24"/>
          <w:szCs w:val="24"/>
          <w:highlight w:val="none"/>
          <w:lang w:val="en-US" w:eastAsia="zh-CN"/>
        </w:rPr>
        <w:t>采购人</w:t>
      </w:r>
      <w:r>
        <w:rPr>
          <w:rFonts w:hint="eastAsia" w:ascii="仿宋" w:hAnsi="仿宋" w:eastAsia="仿宋" w:cs="仿宋"/>
          <w:bCs/>
          <w:color w:val="auto"/>
          <w:sz w:val="24"/>
          <w:szCs w:val="24"/>
          <w:highlight w:val="none"/>
        </w:rPr>
        <w:t>指定地点。</w:t>
      </w:r>
    </w:p>
    <w:p w14:paraId="46FC953F">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00" w:lineRule="exact"/>
        <w:ind w:firstLine="482" w:firstLineChars="200"/>
        <w:textAlignment w:val="auto"/>
        <w:rPr>
          <w:rFonts w:hint="eastAsia" w:ascii="仿宋" w:hAnsi="仿宋" w:eastAsia="仿宋" w:cs="仿宋"/>
          <w:color w:val="auto"/>
          <w:highlight w:val="none"/>
        </w:rPr>
      </w:pPr>
      <w:r>
        <w:rPr>
          <w:rFonts w:hint="eastAsia" w:ascii="仿宋" w:hAnsi="仿宋" w:eastAsia="仿宋" w:cs="仿宋"/>
          <w:b/>
          <w:color w:val="auto"/>
          <w:sz w:val="24"/>
          <w:highlight w:val="none"/>
        </w:rPr>
        <w:t>四、</w:t>
      </w:r>
      <w:r>
        <w:rPr>
          <w:rFonts w:hint="eastAsia" w:ascii="仿宋" w:hAnsi="仿宋" w:eastAsia="仿宋" w:cs="仿宋"/>
          <w:b/>
          <w:bCs/>
          <w:color w:val="auto"/>
          <w:sz w:val="24"/>
          <w:highlight w:val="none"/>
        </w:rPr>
        <w:t>采购清单及技术参数</w:t>
      </w:r>
    </w:p>
    <w:tbl>
      <w:tblPr>
        <w:tblStyle w:val="2"/>
        <w:tblW w:w="9332" w:type="dxa"/>
        <w:tblInd w:w="-2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44"/>
        <w:gridCol w:w="1803"/>
        <w:gridCol w:w="1814"/>
        <w:gridCol w:w="1305"/>
        <w:gridCol w:w="1709"/>
        <w:gridCol w:w="1757"/>
      </w:tblGrid>
      <w:tr w14:paraId="66A765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3" w:hRule="atLeast"/>
        </w:trPr>
        <w:tc>
          <w:tcPr>
            <w:tcW w:w="944" w:type="dxa"/>
            <w:shd w:val="clear" w:color="auto" w:fill="auto"/>
            <w:noWrap w:val="0"/>
            <w:vAlign w:val="center"/>
          </w:tcPr>
          <w:p w14:paraId="1595D441">
            <w:pPr>
              <w:widowControl/>
              <w:spacing w:line="360" w:lineRule="exac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采购包号</w:t>
            </w:r>
          </w:p>
        </w:tc>
        <w:tc>
          <w:tcPr>
            <w:tcW w:w="1803" w:type="dxa"/>
            <w:shd w:val="clear" w:color="auto" w:fill="auto"/>
            <w:noWrap w:val="0"/>
            <w:vAlign w:val="center"/>
          </w:tcPr>
          <w:p w14:paraId="552EBC13">
            <w:pPr>
              <w:widowControl/>
              <w:spacing w:line="360" w:lineRule="exact"/>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货物</w:t>
            </w:r>
            <w:r>
              <w:rPr>
                <w:rFonts w:hint="eastAsia" w:ascii="仿宋" w:hAnsi="仿宋" w:eastAsia="仿宋" w:cs="仿宋"/>
                <w:color w:val="auto"/>
                <w:sz w:val="24"/>
                <w:highlight w:val="none"/>
                <w:lang w:val="en-US" w:eastAsia="zh-CN"/>
              </w:rPr>
              <w:t>名称</w:t>
            </w:r>
          </w:p>
        </w:tc>
        <w:tc>
          <w:tcPr>
            <w:tcW w:w="1814" w:type="dxa"/>
            <w:shd w:val="clear" w:color="auto" w:fill="auto"/>
            <w:noWrap w:val="0"/>
            <w:vAlign w:val="center"/>
          </w:tcPr>
          <w:p w14:paraId="6DCB2978">
            <w:pPr>
              <w:widowControl/>
              <w:spacing w:line="36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规格</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参数）</w:t>
            </w:r>
          </w:p>
        </w:tc>
        <w:tc>
          <w:tcPr>
            <w:tcW w:w="1305" w:type="dxa"/>
            <w:shd w:val="clear" w:color="auto" w:fill="auto"/>
            <w:noWrap w:val="0"/>
            <w:vAlign w:val="center"/>
          </w:tcPr>
          <w:p w14:paraId="27C69922">
            <w:pPr>
              <w:widowControl/>
              <w:spacing w:line="36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最高限价单价</w:t>
            </w:r>
          </w:p>
        </w:tc>
        <w:tc>
          <w:tcPr>
            <w:tcW w:w="1709" w:type="dxa"/>
            <w:shd w:val="clear" w:color="auto" w:fill="auto"/>
            <w:noWrap w:val="0"/>
            <w:vAlign w:val="center"/>
          </w:tcPr>
          <w:p w14:paraId="5A2A3328">
            <w:pPr>
              <w:widowControl/>
              <w:spacing w:line="360" w:lineRule="exact"/>
              <w:jc w:val="center"/>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适用范围</w:t>
            </w:r>
          </w:p>
        </w:tc>
        <w:tc>
          <w:tcPr>
            <w:tcW w:w="1757" w:type="dxa"/>
            <w:shd w:val="clear" w:color="auto" w:fill="auto"/>
            <w:noWrap w:val="0"/>
            <w:vAlign w:val="center"/>
          </w:tcPr>
          <w:p w14:paraId="2D7FEEE7">
            <w:pPr>
              <w:widowControl/>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r>
      <w:tr w14:paraId="202063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3" w:hRule="atLeast"/>
        </w:trPr>
        <w:tc>
          <w:tcPr>
            <w:tcW w:w="944" w:type="dxa"/>
            <w:shd w:val="clear" w:color="auto" w:fill="auto"/>
            <w:noWrap w:val="0"/>
            <w:vAlign w:val="center"/>
          </w:tcPr>
          <w:p w14:paraId="340DB971">
            <w:pPr>
              <w:widowControl/>
              <w:spacing w:line="36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szCs w:val="24"/>
                <w:highlight w:val="none"/>
                <w:lang w:eastAsia="zh-CN"/>
              </w:rPr>
              <w:t>采购包1</w:t>
            </w:r>
          </w:p>
        </w:tc>
        <w:tc>
          <w:tcPr>
            <w:tcW w:w="1803" w:type="dxa"/>
            <w:shd w:val="clear" w:color="auto" w:fill="auto"/>
            <w:noWrap w:val="0"/>
            <w:vAlign w:val="center"/>
          </w:tcPr>
          <w:p w14:paraId="3022C86C">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井冈·氟环唑悬浮剂</w:t>
            </w:r>
          </w:p>
        </w:tc>
        <w:tc>
          <w:tcPr>
            <w:tcW w:w="1814" w:type="dxa"/>
            <w:shd w:val="clear" w:color="auto" w:fill="auto"/>
            <w:noWrap w:val="0"/>
            <w:vAlign w:val="center"/>
          </w:tcPr>
          <w:p w14:paraId="6B31D04F">
            <w:pPr>
              <w:widowControl/>
              <w:spacing w:line="36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总含量≥14%</w:t>
            </w:r>
          </w:p>
          <w:p w14:paraId="5ED04694">
            <w:pPr>
              <w:widowControl/>
              <w:spacing w:line="36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100g/瓶</w:t>
            </w:r>
          </w:p>
        </w:tc>
        <w:tc>
          <w:tcPr>
            <w:tcW w:w="1305" w:type="dxa"/>
            <w:shd w:val="clear" w:color="auto" w:fill="auto"/>
            <w:noWrap w:val="0"/>
            <w:vAlign w:val="center"/>
          </w:tcPr>
          <w:p w14:paraId="74938D7D">
            <w:pPr>
              <w:widowControl/>
              <w:spacing w:line="36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18.7</w:t>
            </w:r>
            <w:r>
              <w:rPr>
                <w:rFonts w:hint="eastAsia" w:ascii="仿宋" w:hAnsi="仿宋" w:eastAsia="仿宋" w:cs="仿宋"/>
                <w:color w:val="auto"/>
                <w:sz w:val="24"/>
                <w:highlight w:val="none"/>
                <w:lang w:eastAsia="zh-CN"/>
              </w:rPr>
              <w:t>元/瓶</w:t>
            </w:r>
          </w:p>
        </w:tc>
        <w:tc>
          <w:tcPr>
            <w:tcW w:w="1709" w:type="dxa"/>
            <w:shd w:val="clear" w:color="auto" w:fill="auto"/>
            <w:noWrap w:val="0"/>
            <w:vAlign w:val="center"/>
          </w:tcPr>
          <w:p w14:paraId="57CE4110">
            <w:pPr>
              <w:widowControl/>
              <w:spacing w:line="360" w:lineRule="exact"/>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水稻</w:t>
            </w:r>
          </w:p>
        </w:tc>
        <w:tc>
          <w:tcPr>
            <w:tcW w:w="1757" w:type="dxa"/>
            <w:shd w:val="clear" w:color="auto" w:fill="auto"/>
            <w:noWrap w:val="0"/>
            <w:vAlign w:val="center"/>
          </w:tcPr>
          <w:p w14:paraId="2E7EA7A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最终数量以成交单价计算，</w:t>
            </w:r>
            <w:r>
              <w:rPr>
                <w:rFonts w:hint="eastAsia" w:ascii="仿宋" w:hAnsi="仿宋" w:eastAsia="仿宋" w:cs="仿宋"/>
                <w:color w:val="auto"/>
                <w:sz w:val="24"/>
                <w:szCs w:val="24"/>
                <w:highlight w:val="none"/>
                <w:lang w:val="en-US" w:eastAsia="zh-CN"/>
              </w:rPr>
              <w:t>7.44</w:t>
            </w:r>
            <w:r>
              <w:rPr>
                <w:rFonts w:hint="eastAsia" w:ascii="仿宋" w:hAnsi="仿宋" w:eastAsia="仿宋" w:cs="仿宋"/>
                <w:color w:val="auto"/>
                <w:sz w:val="24"/>
                <w:szCs w:val="24"/>
                <w:highlight w:val="none"/>
                <w:lang w:eastAsia="zh-CN"/>
              </w:rPr>
              <w:t>万元</w:t>
            </w:r>
            <w:r>
              <w:rPr>
                <w:rFonts w:hint="eastAsia" w:ascii="仿宋" w:hAnsi="仿宋" w:eastAsia="仿宋" w:cs="仿宋"/>
                <w:color w:val="auto"/>
                <w:sz w:val="24"/>
                <w:szCs w:val="24"/>
                <w:highlight w:val="none"/>
              </w:rPr>
              <w:t>全部用完为止</w:t>
            </w:r>
          </w:p>
        </w:tc>
      </w:tr>
      <w:tr w14:paraId="360CD3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0" w:hRule="atLeast"/>
        </w:trPr>
        <w:tc>
          <w:tcPr>
            <w:tcW w:w="944" w:type="dxa"/>
            <w:shd w:val="clear" w:color="auto" w:fill="auto"/>
            <w:noWrap w:val="0"/>
            <w:vAlign w:val="center"/>
          </w:tcPr>
          <w:p w14:paraId="260A8203">
            <w:pPr>
              <w:widowControl/>
              <w:spacing w:line="36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szCs w:val="24"/>
                <w:highlight w:val="none"/>
                <w:lang w:eastAsia="zh-CN"/>
              </w:rPr>
              <w:t>采购包</w:t>
            </w:r>
            <w:r>
              <w:rPr>
                <w:rFonts w:hint="eastAsia" w:ascii="仿宋" w:hAnsi="仿宋" w:eastAsia="仿宋" w:cs="仿宋"/>
                <w:color w:val="auto"/>
                <w:sz w:val="24"/>
                <w:szCs w:val="24"/>
                <w:highlight w:val="none"/>
                <w:lang w:val="en-US" w:eastAsia="zh-CN"/>
              </w:rPr>
              <w:t>2</w:t>
            </w:r>
          </w:p>
        </w:tc>
        <w:tc>
          <w:tcPr>
            <w:tcW w:w="1803" w:type="dxa"/>
            <w:shd w:val="clear" w:color="auto" w:fill="auto"/>
            <w:noWrap w:val="0"/>
            <w:vAlign w:val="center"/>
          </w:tcPr>
          <w:p w14:paraId="591F27D9">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磷酸二氢钾复配制剂</w:t>
            </w:r>
          </w:p>
        </w:tc>
        <w:tc>
          <w:tcPr>
            <w:tcW w:w="1814" w:type="dxa"/>
            <w:shd w:val="clear" w:color="auto" w:fill="auto"/>
            <w:noWrap w:val="0"/>
            <w:vAlign w:val="center"/>
          </w:tcPr>
          <w:p w14:paraId="1381E3E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100g/瓶</w:t>
            </w:r>
            <w:r>
              <w:rPr>
                <w:rFonts w:hint="eastAsia" w:ascii="仿宋" w:hAnsi="仿宋" w:eastAsia="仿宋" w:cs="仿宋"/>
                <w:color w:val="auto"/>
                <w:sz w:val="24"/>
                <w:highlight w:val="none"/>
                <w:lang w:val="en-US" w:eastAsia="zh-CN"/>
              </w:rPr>
              <w:t>（P₂O₅+K₂O≥500g/L、微量元素最少含有锌（2-30g/L），速溶型，满足无人植保机喷施。）</w:t>
            </w:r>
          </w:p>
        </w:tc>
        <w:tc>
          <w:tcPr>
            <w:tcW w:w="1305" w:type="dxa"/>
            <w:shd w:val="clear" w:color="auto" w:fill="auto"/>
            <w:noWrap w:val="0"/>
            <w:vAlign w:val="center"/>
          </w:tcPr>
          <w:p w14:paraId="67359679">
            <w:pPr>
              <w:widowControl/>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2.5</w:t>
            </w:r>
            <w:r>
              <w:rPr>
                <w:rFonts w:hint="eastAsia" w:ascii="仿宋" w:hAnsi="仿宋" w:eastAsia="仿宋" w:cs="仿宋"/>
                <w:color w:val="auto"/>
                <w:sz w:val="24"/>
                <w:highlight w:val="none"/>
                <w:lang w:eastAsia="zh-CN"/>
              </w:rPr>
              <w:t>元/瓶</w:t>
            </w:r>
          </w:p>
        </w:tc>
        <w:tc>
          <w:tcPr>
            <w:tcW w:w="1709" w:type="dxa"/>
            <w:shd w:val="clear" w:color="auto" w:fill="auto"/>
            <w:noWrap w:val="0"/>
            <w:vAlign w:val="center"/>
          </w:tcPr>
          <w:p w14:paraId="1B7E7F41">
            <w:pPr>
              <w:widowControl/>
              <w:spacing w:line="360" w:lineRule="exact"/>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小麦、水稻</w:t>
            </w:r>
          </w:p>
        </w:tc>
        <w:tc>
          <w:tcPr>
            <w:tcW w:w="1757" w:type="dxa"/>
            <w:shd w:val="clear" w:color="auto" w:fill="auto"/>
            <w:noWrap w:val="0"/>
            <w:vAlign w:val="center"/>
          </w:tcPr>
          <w:p w14:paraId="7836CB5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最终数量以成交单价计算，</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lang w:eastAsia="zh-CN"/>
              </w:rPr>
              <w:t>万元</w:t>
            </w:r>
            <w:r>
              <w:rPr>
                <w:rFonts w:hint="eastAsia" w:ascii="仿宋" w:hAnsi="仿宋" w:eastAsia="仿宋" w:cs="仿宋"/>
                <w:color w:val="auto"/>
                <w:sz w:val="24"/>
                <w:szCs w:val="24"/>
                <w:highlight w:val="none"/>
              </w:rPr>
              <w:t>全部用完为止</w:t>
            </w:r>
          </w:p>
        </w:tc>
      </w:tr>
      <w:tr w14:paraId="5E9FBE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3" w:hRule="atLeast"/>
        </w:trPr>
        <w:tc>
          <w:tcPr>
            <w:tcW w:w="944" w:type="dxa"/>
            <w:shd w:val="clear" w:color="auto" w:fill="auto"/>
            <w:noWrap w:val="0"/>
            <w:vAlign w:val="center"/>
          </w:tcPr>
          <w:p w14:paraId="11549E81">
            <w:pPr>
              <w:widowControl/>
              <w:spacing w:line="36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采购包</w:t>
            </w:r>
            <w:r>
              <w:rPr>
                <w:rFonts w:hint="eastAsia" w:ascii="仿宋" w:hAnsi="仿宋" w:eastAsia="仿宋" w:cs="仿宋"/>
                <w:color w:val="auto"/>
                <w:sz w:val="24"/>
                <w:szCs w:val="24"/>
                <w:highlight w:val="none"/>
                <w:lang w:val="en-US" w:eastAsia="zh-CN"/>
              </w:rPr>
              <w:t>3</w:t>
            </w:r>
          </w:p>
        </w:tc>
        <w:tc>
          <w:tcPr>
            <w:tcW w:w="1803" w:type="dxa"/>
            <w:shd w:val="clear" w:color="auto" w:fill="auto"/>
            <w:noWrap w:val="0"/>
            <w:vAlign w:val="center"/>
          </w:tcPr>
          <w:p w14:paraId="4E0BF358">
            <w:pPr>
              <w:spacing w:line="300" w:lineRule="exact"/>
              <w:jc w:val="center"/>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0.01%24-表芸苔素内酯可溶液剂</w:t>
            </w:r>
          </w:p>
        </w:tc>
        <w:tc>
          <w:tcPr>
            <w:tcW w:w="1814" w:type="dxa"/>
            <w:shd w:val="clear" w:color="auto" w:fill="auto"/>
            <w:noWrap w:val="0"/>
            <w:vAlign w:val="center"/>
          </w:tcPr>
          <w:p w14:paraId="3B218171">
            <w:pPr>
              <w:widowControl/>
              <w:spacing w:line="360" w:lineRule="exact"/>
              <w:jc w:val="center"/>
              <w:rPr>
                <w:rFonts w:hint="eastAsia" w:ascii="仿宋" w:hAnsi="仿宋" w:eastAsia="仿宋" w:cs="仿宋"/>
                <w:bCs/>
                <w:color w:val="auto"/>
                <w:sz w:val="24"/>
                <w:szCs w:val="24"/>
                <w:highlight w:val="none"/>
              </w:rPr>
            </w:pPr>
            <w:r>
              <w:rPr>
                <w:rFonts w:hint="eastAsia" w:ascii="仿宋" w:hAnsi="仿宋" w:eastAsia="仿宋" w:cs="仿宋"/>
                <w:color w:val="auto"/>
                <w:sz w:val="24"/>
                <w:highlight w:val="none"/>
                <w:lang w:val="en-US" w:eastAsia="zh-CN"/>
              </w:rPr>
              <w:t>100</w:t>
            </w:r>
            <w:r>
              <w:rPr>
                <w:rFonts w:hint="eastAsia" w:ascii="仿宋" w:hAnsi="仿宋" w:eastAsia="仿宋" w:cs="仿宋"/>
                <w:color w:val="auto"/>
                <w:sz w:val="24"/>
                <w:highlight w:val="none"/>
                <w:lang w:val="en-US" w:eastAsia="zh-CN"/>
              </w:rPr>
              <w:t>ml</w:t>
            </w:r>
            <w:r>
              <w:rPr>
                <w:rFonts w:hint="eastAsia" w:ascii="仿宋" w:hAnsi="仿宋" w:eastAsia="仿宋" w:cs="仿宋"/>
                <w:color w:val="auto"/>
                <w:sz w:val="24"/>
                <w:highlight w:val="none"/>
                <w:lang w:val="en-US" w:eastAsia="zh-CN"/>
              </w:rPr>
              <w:t>/瓶</w:t>
            </w:r>
          </w:p>
        </w:tc>
        <w:tc>
          <w:tcPr>
            <w:tcW w:w="1305" w:type="dxa"/>
            <w:shd w:val="clear" w:color="auto" w:fill="auto"/>
            <w:noWrap w:val="0"/>
            <w:vAlign w:val="center"/>
          </w:tcPr>
          <w:p w14:paraId="6E29BA7B">
            <w:pPr>
              <w:widowControl/>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lang w:val="en-US" w:eastAsia="zh-CN"/>
              </w:rPr>
              <w:t>6.4</w:t>
            </w:r>
            <w:r>
              <w:rPr>
                <w:rFonts w:hint="eastAsia" w:ascii="仿宋" w:hAnsi="仿宋" w:eastAsia="仿宋" w:cs="仿宋"/>
                <w:color w:val="auto"/>
                <w:sz w:val="24"/>
                <w:highlight w:val="none"/>
                <w:lang w:eastAsia="zh-CN"/>
              </w:rPr>
              <w:t>元/瓶</w:t>
            </w:r>
          </w:p>
        </w:tc>
        <w:tc>
          <w:tcPr>
            <w:tcW w:w="1709" w:type="dxa"/>
            <w:shd w:val="clear" w:color="auto" w:fill="auto"/>
            <w:noWrap w:val="0"/>
            <w:vAlign w:val="center"/>
          </w:tcPr>
          <w:p w14:paraId="581EB843">
            <w:pPr>
              <w:widowControl/>
              <w:spacing w:line="360" w:lineRule="exact"/>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小麦、水稻</w:t>
            </w:r>
          </w:p>
        </w:tc>
        <w:tc>
          <w:tcPr>
            <w:tcW w:w="1757" w:type="dxa"/>
            <w:shd w:val="clear" w:color="auto" w:fill="auto"/>
            <w:noWrap w:val="0"/>
            <w:vAlign w:val="center"/>
          </w:tcPr>
          <w:p w14:paraId="0E29ED9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最终数量以成交单价计算，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万元全部用完为止</w:t>
            </w:r>
          </w:p>
        </w:tc>
      </w:tr>
      <w:tr w14:paraId="424C75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3" w:hRule="atLeast"/>
        </w:trPr>
        <w:tc>
          <w:tcPr>
            <w:tcW w:w="944" w:type="dxa"/>
            <w:shd w:val="clear" w:color="auto" w:fill="auto"/>
            <w:noWrap w:val="0"/>
            <w:vAlign w:val="center"/>
          </w:tcPr>
          <w:p w14:paraId="109647E1">
            <w:pPr>
              <w:widowControl/>
              <w:spacing w:line="36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采购包</w:t>
            </w:r>
            <w:r>
              <w:rPr>
                <w:rFonts w:hint="eastAsia" w:ascii="仿宋" w:hAnsi="仿宋" w:eastAsia="仿宋" w:cs="仿宋"/>
                <w:color w:val="auto"/>
                <w:sz w:val="24"/>
                <w:szCs w:val="24"/>
                <w:highlight w:val="none"/>
                <w:lang w:val="en-US" w:eastAsia="zh-CN"/>
              </w:rPr>
              <w:t>4</w:t>
            </w:r>
          </w:p>
        </w:tc>
        <w:tc>
          <w:tcPr>
            <w:tcW w:w="1803" w:type="dxa"/>
            <w:shd w:val="clear" w:color="auto" w:fill="auto"/>
            <w:noWrap w:val="0"/>
            <w:vAlign w:val="center"/>
          </w:tcPr>
          <w:p w14:paraId="6A6ED902">
            <w:pPr>
              <w:spacing w:line="300" w:lineRule="exact"/>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30%吡蚜·噻虫胺（含25%吡蚜酮，5%噻虫胺）悬浮剂或水分散粒剂</w:t>
            </w:r>
          </w:p>
        </w:tc>
        <w:tc>
          <w:tcPr>
            <w:tcW w:w="1814" w:type="dxa"/>
            <w:shd w:val="clear" w:color="auto" w:fill="auto"/>
            <w:noWrap w:val="0"/>
            <w:vAlign w:val="center"/>
          </w:tcPr>
          <w:p w14:paraId="5270FC42">
            <w:pPr>
              <w:widowControl/>
              <w:spacing w:line="36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240</w:t>
            </w:r>
            <w:r>
              <w:rPr>
                <w:rFonts w:hint="eastAsia" w:ascii="仿宋" w:hAnsi="仿宋" w:eastAsia="仿宋" w:cs="仿宋"/>
                <w:color w:val="auto"/>
                <w:sz w:val="24"/>
                <w:highlight w:val="none"/>
                <w:lang w:val="en-US" w:eastAsia="zh-CN"/>
              </w:rPr>
              <w:t>g</w:t>
            </w:r>
            <w:r>
              <w:rPr>
                <w:rFonts w:hint="eastAsia" w:ascii="仿宋" w:hAnsi="仿宋" w:eastAsia="仿宋" w:cs="仿宋"/>
                <w:bCs/>
                <w:color w:val="auto"/>
                <w:sz w:val="24"/>
                <w:szCs w:val="24"/>
                <w:highlight w:val="none"/>
              </w:rPr>
              <w:t>/瓶</w:t>
            </w:r>
          </w:p>
        </w:tc>
        <w:tc>
          <w:tcPr>
            <w:tcW w:w="1305" w:type="dxa"/>
            <w:shd w:val="clear" w:color="auto" w:fill="auto"/>
            <w:noWrap w:val="0"/>
            <w:vAlign w:val="center"/>
          </w:tcPr>
          <w:p w14:paraId="084CA07F">
            <w:pPr>
              <w:widowControl/>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lang w:val="en-US" w:eastAsia="zh-CN"/>
              </w:rPr>
              <w:t>42</w:t>
            </w:r>
            <w:r>
              <w:rPr>
                <w:rFonts w:hint="eastAsia" w:ascii="仿宋" w:hAnsi="仿宋" w:eastAsia="仿宋" w:cs="仿宋"/>
                <w:color w:val="auto"/>
                <w:sz w:val="24"/>
                <w:highlight w:val="none"/>
                <w:lang w:eastAsia="zh-CN"/>
              </w:rPr>
              <w:t>元/瓶</w:t>
            </w:r>
          </w:p>
        </w:tc>
        <w:tc>
          <w:tcPr>
            <w:tcW w:w="1709" w:type="dxa"/>
            <w:shd w:val="clear" w:color="auto" w:fill="auto"/>
            <w:noWrap w:val="0"/>
            <w:vAlign w:val="center"/>
          </w:tcPr>
          <w:p w14:paraId="6F698F1A">
            <w:pPr>
              <w:widowControl/>
              <w:spacing w:line="360" w:lineRule="exact"/>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水稻</w:t>
            </w:r>
          </w:p>
        </w:tc>
        <w:tc>
          <w:tcPr>
            <w:tcW w:w="1757" w:type="dxa"/>
            <w:shd w:val="clear" w:color="auto" w:fill="auto"/>
            <w:noWrap w:val="0"/>
            <w:vAlign w:val="center"/>
          </w:tcPr>
          <w:p w14:paraId="6E5BB21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最终数量以成交单价计算，</w:t>
            </w:r>
            <w:r>
              <w:rPr>
                <w:rFonts w:hint="eastAsia" w:ascii="仿宋" w:hAnsi="仿宋" w:eastAsia="仿宋" w:cs="仿宋"/>
                <w:color w:val="auto"/>
                <w:sz w:val="24"/>
                <w:szCs w:val="24"/>
                <w:highlight w:val="none"/>
                <w:lang w:val="en-US" w:eastAsia="zh-CN"/>
              </w:rPr>
              <w:t>32</w:t>
            </w:r>
            <w:r>
              <w:rPr>
                <w:rFonts w:hint="eastAsia" w:ascii="仿宋" w:hAnsi="仿宋" w:eastAsia="仿宋" w:cs="仿宋"/>
                <w:color w:val="auto"/>
                <w:sz w:val="24"/>
                <w:szCs w:val="24"/>
                <w:highlight w:val="none"/>
              </w:rPr>
              <w:t>万元全部用完为止</w:t>
            </w:r>
          </w:p>
        </w:tc>
      </w:tr>
      <w:tr w14:paraId="48DA89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3" w:hRule="atLeast"/>
        </w:trPr>
        <w:tc>
          <w:tcPr>
            <w:tcW w:w="944" w:type="dxa"/>
            <w:shd w:val="clear" w:color="auto" w:fill="auto"/>
            <w:noWrap w:val="0"/>
            <w:vAlign w:val="center"/>
          </w:tcPr>
          <w:p w14:paraId="25D3B533">
            <w:pPr>
              <w:widowControl/>
              <w:spacing w:line="36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采购包</w:t>
            </w:r>
            <w:r>
              <w:rPr>
                <w:rFonts w:hint="eastAsia" w:ascii="仿宋" w:hAnsi="仿宋" w:eastAsia="仿宋" w:cs="仿宋"/>
                <w:color w:val="auto"/>
                <w:sz w:val="24"/>
                <w:szCs w:val="24"/>
                <w:highlight w:val="none"/>
                <w:lang w:val="en-US" w:eastAsia="zh-CN"/>
              </w:rPr>
              <w:t>5</w:t>
            </w:r>
          </w:p>
        </w:tc>
        <w:tc>
          <w:tcPr>
            <w:tcW w:w="1803" w:type="dxa"/>
            <w:shd w:val="clear" w:color="auto" w:fill="auto"/>
            <w:noWrap w:val="0"/>
            <w:vAlign w:val="center"/>
          </w:tcPr>
          <w:p w14:paraId="7A8B0125">
            <w:pPr>
              <w:spacing w:line="300" w:lineRule="exact"/>
              <w:jc w:val="center"/>
              <w:rPr>
                <w:rFonts w:hint="eastAsia" w:ascii="仿宋" w:hAnsi="仿宋" w:eastAsia="仿宋" w:cs="仿宋"/>
                <w:bCs/>
                <w:color w:val="auto"/>
                <w:sz w:val="24"/>
                <w:szCs w:val="24"/>
                <w:highlight w:val="none"/>
                <w:lang w:eastAsia="zh-CN"/>
              </w:rPr>
            </w:pPr>
            <w:r>
              <w:rPr>
                <w:rFonts w:hint="eastAsia" w:ascii="仿宋" w:hAnsi="仿宋" w:eastAsia="仿宋" w:cs="仿宋"/>
                <w:color w:val="auto"/>
                <w:sz w:val="24"/>
                <w:szCs w:val="24"/>
                <w:highlight w:val="none"/>
                <w:lang w:eastAsia="zh-CN"/>
              </w:rPr>
              <w:t>19%丙环·嘧菌酯悬乳剂</w:t>
            </w:r>
          </w:p>
        </w:tc>
        <w:tc>
          <w:tcPr>
            <w:tcW w:w="1814" w:type="dxa"/>
            <w:shd w:val="clear" w:color="auto" w:fill="auto"/>
            <w:noWrap w:val="0"/>
            <w:vAlign w:val="center"/>
          </w:tcPr>
          <w:p w14:paraId="613BEEB6">
            <w:pPr>
              <w:widowControl/>
              <w:spacing w:line="360" w:lineRule="exact"/>
              <w:jc w:val="center"/>
              <w:rPr>
                <w:rFonts w:hint="eastAsia" w:ascii="仿宋" w:hAnsi="仿宋" w:eastAsia="仿宋" w:cs="仿宋"/>
                <w:bCs/>
                <w:color w:val="auto"/>
                <w:sz w:val="24"/>
                <w:szCs w:val="24"/>
                <w:highlight w:val="none"/>
              </w:rPr>
            </w:pPr>
            <w:r>
              <w:rPr>
                <w:rFonts w:hint="eastAsia" w:ascii="仿宋" w:hAnsi="仿宋" w:eastAsia="仿宋" w:cs="仿宋"/>
                <w:color w:val="auto"/>
                <w:sz w:val="24"/>
                <w:highlight w:val="none"/>
                <w:lang w:val="en-US" w:eastAsia="zh-CN"/>
              </w:rPr>
              <w:t>40</w:t>
            </w:r>
            <w:r>
              <w:rPr>
                <w:rFonts w:hint="eastAsia" w:ascii="仿宋" w:hAnsi="仿宋" w:eastAsia="仿宋" w:cs="仿宋"/>
                <w:color w:val="auto"/>
                <w:sz w:val="24"/>
                <w:highlight w:val="none"/>
                <w:lang w:val="en-US" w:eastAsia="zh-CN"/>
              </w:rPr>
              <w:t>g</w:t>
            </w:r>
            <w:r>
              <w:rPr>
                <w:rFonts w:hint="eastAsia" w:ascii="仿宋" w:hAnsi="仿宋" w:eastAsia="仿宋" w:cs="仿宋"/>
                <w:bCs/>
                <w:color w:val="auto"/>
                <w:sz w:val="24"/>
                <w:szCs w:val="24"/>
                <w:highlight w:val="none"/>
              </w:rPr>
              <w:t>/瓶</w:t>
            </w:r>
          </w:p>
        </w:tc>
        <w:tc>
          <w:tcPr>
            <w:tcW w:w="1305" w:type="dxa"/>
            <w:shd w:val="clear" w:color="auto" w:fill="auto"/>
            <w:noWrap w:val="0"/>
            <w:vAlign w:val="center"/>
          </w:tcPr>
          <w:p w14:paraId="108809F6">
            <w:pPr>
              <w:widowControl/>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lang w:val="en-US" w:eastAsia="zh-CN"/>
              </w:rPr>
              <w:t>5.8</w:t>
            </w:r>
            <w:r>
              <w:rPr>
                <w:rFonts w:hint="eastAsia" w:ascii="仿宋" w:hAnsi="仿宋" w:eastAsia="仿宋" w:cs="仿宋"/>
                <w:color w:val="auto"/>
                <w:sz w:val="24"/>
                <w:highlight w:val="none"/>
                <w:lang w:eastAsia="zh-CN"/>
              </w:rPr>
              <w:t>元/瓶</w:t>
            </w:r>
          </w:p>
        </w:tc>
        <w:tc>
          <w:tcPr>
            <w:tcW w:w="1709" w:type="dxa"/>
            <w:shd w:val="clear" w:color="auto" w:fill="auto"/>
            <w:noWrap w:val="0"/>
            <w:vAlign w:val="center"/>
          </w:tcPr>
          <w:p w14:paraId="312CE99C">
            <w:pPr>
              <w:widowControl/>
              <w:spacing w:line="360" w:lineRule="exact"/>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小麦、水稻</w:t>
            </w:r>
          </w:p>
        </w:tc>
        <w:tc>
          <w:tcPr>
            <w:tcW w:w="1757" w:type="dxa"/>
            <w:shd w:val="clear" w:color="auto" w:fill="auto"/>
            <w:noWrap w:val="0"/>
            <w:vAlign w:val="center"/>
          </w:tcPr>
          <w:p w14:paraId="48E024C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最终数量以成交单价计算，</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万元全部用完为止</w:t>
            </w:r>
          </w:p>
        </w:tc>
      </w:tr>
      <w:tr w14:paraId="274EAC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3" w:hRule="atLeast"/>
        </w:trPr>
        <w:tc>
          <w:tcPr>
            <w:tcW w:w="944" w:type="dxa"/>
            <w:shd w:val="clear" w:color="auto" w:fill="auto"/>
            <w:noWrap w:val="0"/>
            <w:vAlign w:val="center"/>
          </w:tcPr>
          <w:p w14:paraId="21B72B72">
            <w:pPr>
              <w:widowControl/>
              <w:spacing w:line="36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采购包</w:t>
            </w:r>
            <w:r>
              <w:rPr>
                <w:rFonts w:hint="eastAsia" w:ascii="仿宋" w:hAnsi="仿宋" w:eastAsia="仿宋" w:cs="仿宋"/>
                <w:color w:val="auto"/>
                <w:sz w:val="24"/>
                <w:szCs w:val="24"/>
                <w:highlight w:val="none"/>
                <w:lang w:val="en-US" w:eastAsia="zh-CN"/>
              </w:rPr>
              <w:t>6</w:t>
            </w:r>
          </w:p>
        </w:tc>
        <w:tc>
          <w:tcPr>
            <w:tcW w:w="1803" w:type="dxa"/>
            <w:shd w:val="clear" w:color="auto" w:fill="auto"/>
            <w:noWrap w:val="0"/>
            <w:vAlign w:val="center"/>
          </w:tcPr>
          <w:p w14:paraId="1836D45D">
            <w:pPr>
              <w:spacing w:line="30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咪鲜·嘧菌酯</w:t>
            </w:r>
          </w:p>
        </w:tc>
        <w:tc>
          <w:tcPr>
            <w:tcW w:w="1814" w:type="dxa"/>
            <w:shd w:val="clear" w:color="auto" w:fill="auto"/>
            <w:noWrap w:val="0"/>
            <w:vAlign w:val="center"/>
          </w:tcPr>
          <w:p w14:paraId="531A204C">
            <w:pPr>
              <w:widowControl/>
              <w:spacing w:line="36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总含量≥20%</w:t>
            </w:r>
          </w:p>
          <w:p w14:paraId="6EC0E3D2">
            <w:pPr>
              <w:widowControl/>
              <w:spacing w:line="360" w:lineRule="exact"/>
              <w:jc w:val="center"/>
              <w:rPr>
                <w:rFonts w:hint="eastAsia" w:ascii="仿宋" w:hAnsi="仿宋" w:eastAsia="仿宋" w:cs="仿宋"/>
                <w:bCs/>
                <w:color w:val="auto"/>
                <w:sz w:val="24"/>
                <w:szCs w:val="24"/>
                <w:highlight w:val="none"/>
              </w:rPr>
            </w:pPr>
            <w:r>
              <w:rPr>
                <w:rFonts w:hint="eastAsia" w:ascii="仿宋" w:hAnsi="仿宋" w:eastAsia="仿宋" w:cs="仿宋"/>
                <w:color w:val="auto"/>
                <w:sz w:val="24"/>
                <w:highlight w:val="none"/>
                <w:lang w:val="en-US" w:eastAsia="zh-CN"/>
              </w:rPr>
              <w:t>40</w:t>
            </w:r>
            <w:r>
              <w:rPr>
                <w:rFonts w:hint="eastAsia" w:ascii="仿宋" w:hAnsi="仿宋" w:eastAsia="仿宋" w:cs="仿宋"/>
                <w:color w:val="auto"/>
                <w:sz w:val="24"/>
                <w:highlight w:val="none"/>
                <w:lang w:val="en-US" w:eastAsia="zh-CN"/>
              </w:rPr>
              <w:t>g</w:t>
            </w:r>
            <w:r>
              <w:rPr>
                <w:rFonts w:hint="eastAsia" w:ascii="仿宋" w:hAnsi="仿宋" w:eastAsia="仿宋" w:cs="仿宋"/>
                <w:bCs/>
                <w:color w:val="auto"/>
                <w:sz w:val="24"/>
                <w:szCs w:val="24"/>
                <w:highlight w:val="none"/>
              </w:rPr>
              <w:t>/瓶</w:t>
            </w:r>
          </w:p>
        </w:tc>
        <w:tc>
          <w:tcPr>
            <w:tcW w:w="1305" w:type="dxa"/>
            <w:shd w:val="clear" w:color="auto" w:fill="auto"/>
            <w:noWrap w:val="0"/>
            <w:vAlign w:val="center"/>
          </w:tcPr>
          <w:p w14:paraId="6FB43F59">
            <w:pPr>
              <w:widowControl/>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lang w:eastAsia="zh-CN"/>
              </w:rPr>
              <w:t>元/瓶</w:t>
            </w:r>
          </w:p>
        </w:tc>
        <w:tc>
          <w:tcPr>
            <w:tcW w:w="1709" w:type="dxa"/>
            <w:shd w:val="clear" w:color="auto" w:fill="auto"/>
            <w:noWrap w:val="0"/>
            <w:vAlign w:val="center"/>
          </w:tcPr>
          <w:p w14:paraId="7E6543A3">
            <w:pPr>
              <w:widowControl/>
              <w:spacing w:line="360" w:lineRule="exact"/>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水稻</w:t>
            </w:r>
          </w:p>
        </w:tc>
        <w:tc>
          <w:tcPr>
            <w:tcW w:w="1757" w:type="dxa"/>
            <w:shd w:val="clear" w:color="auto" w:fill="auto"/>
            <w:noWrap w:val="0"/>
            <w:vAlign w:val="center"/>
          </w:tcPr>
          <w:p w14:paraId="189659D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最终数量以成交单价计算，</w:t>
            </w:r>
            <w:r>
              <w:rPr>
                <w:rFonts w:hint="eastAsia" w:ascii="仿宋" w:hAnsi="仿宋" w:eastAsia="仿宋" w:cs="仿宋"/>
                <w:color w:val="auto"/>
                <w:sz w:val="24"/>
                <w:szCs w:val="24"/>
                <w:highlight w:val="none"/>
                <w:lang w:val="en-US" w:eastAsia="zh-CN"/>
              </w:rPr>
              <w:t>32</w:t>
            </w:r>
            <w:r>
              <w:rPr>
                <w:rFonts w:hint="eastAsia" w:ascii="仿宋" w:hAnsi="仿宋" w:eastAsia="仿宋" w:cs="仿宋"/>
                <w:color w:val="auto"/>
                <w:sz w:val="24"/>
                <w:szCs w:val="24"/>
                <w:highlight w:val="none"/>
              </w:rPr>
              <w:t>万元全部用完为止</w:t>
            </w:r>
          </w:p>
        </w:tc>
      </w:tr>
    </w:tbl>
    <w:p w14:paraId="6352A4F7">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注：</w:t>
      </w:r>
      <w:r>
        <w:rPr>
          <w:rFonts w:hint="eastAsia" w:ascii="仿宋" w:hAnsi="仿宋" w:eastAsia="仿宋" w:cs="仿宋"/>
          <w:bCs/>
          <w:color w:val="auto"/>
          <w:sz w:val="24"/>
          <w:highlight w:val="none"/>
          <w:lang w:val="en-US" w:eastAsia="zh-CN"/>
        </w:rPr>
        <w:t>1.</w:t>
      </w:r>
      <w:r>
        <w:rPr>
          <w:rFonts w:hint="eastAsia" w:ascii="仿宋" w:hAnsi="仿宋" w:eastAsia="仿宋" w:cs="仿宋"/>
          <w:bCs/>
          <w:color w:val="auto"/>
          <w:sz w:val="24"/>
          <w:highlight w:val="none"/>
        </w:rPr>
        <w:t>报价内容包括</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货物本身价格、运输、装卸、人工、产品损耗、报验、检测、检验、售后服务、税费及产品交付使用过程中涉及到的其他一切费用；</w:t>
      </w:r>
    </w:p>
    <w:p w14:paraId="34DA7CA9">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2.</w:t>
      </w:r>
      <w:r>
        <w:rPr>
          <w:rFonts w:hint="eastAsia" w:ascii="仿宋" w:hAnsi="仿宋" w:eastAsia="仿宋" w:cs="仿宋"/>
          <w:bCs/>
          <w:color w:val="auto"/>
          <w:sz w:val="24"/>
          <w:highlight w:val="none"/>
        </w:rPr>
        <w:t>供应商报价时应充分考虑所有可能影响到报价的因素，一旦最终成交，价格不予调整。如发生漏、缺、少项，都将被认为是</w:t>
      </w:r>
      <w:r>
        <w:rPr>
          <w:rFonts w:hint="eastAsia" w:ascii="仿宋" w:hAnsi="仿宋" w:eastAsia="仿宋" w:cs="仿宋"/>
          <w:bCs/>
          <w:color w:val="auto"/>
          <w:sz w:val="24"/>
          <w:highlight w:val="none"/>
          <w:lang w:eastAsia="zh-CN"/>
        </w:rPr>
        <w:t>成交供应商</w:t>
      </w:r>
      <w:r>
        <w:rPr>
          <w:rFonts w:hint="eastAsia" w:ascii="仿宋" w:hAnsi="仿宋" w:eastAsia="仿宋" w:cs="仿宋"/>
          <w:bCs/>
          <w:color w:val="auto"/>
          <w:sz w:val="24"/>
          <w:highlight w:val="none"/>
        </w:rPr>
        <w:t>的报价让利行为，损失自负；</w:t>
      </w:r>
    </w:p>
    <w:p w14:paraId="2C7B60D1">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00" w:lineRule="exact"/>
        <w:ind w:firstLine="482" w:firstLineChars="200"/>
        <w:textAlignment w:val="auto"/>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成交后，供应商按预算金额除以成交单价进行供货，如遇总价除以单价除不尽的情况进行取整</w:t>
      </w:r>
      <w:r>
        <w:rPr>
          <w:rFonts w:hint="eastAsia" w:ascii="仿宋" w:hAnsi="仿宋" w:eastAsia="仿宋" w:cs="仿宋"/>
          <w:b/>
          <w:color w:val="auto"/>
          <w:sz w:val="24"/>
          <w:highlight w:val="none"/>
          <w:lang w:val="en-US" w:eastAsia="zh-CN"/>
        </w:rPr>
        <w:t>（小数点后数字不为0时，实行进1进行取数）。</w:t>
      </w:r>
    </w:p>
    <w:p w14:paraId="5C68FB46">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00" w:lineRule="exact"/>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采购标的总价不变，请供应商报单价和数量；</w:t>
      </w:r>
    </w:p>
    <w:p w14:paraId="61E610AB">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5.按采购包1至采购包6的顺序开标、评标、定标，每位投标人可以参与全部采购包的投标并在全部采购包中可以重复推荐为中标候选人。评审结束后，若其中一个采购包受到质疑投诉等原因，导致本采购包评审结果改变，但不影响其他采购包的评审</w:t>
      </w:r>
      <w:r>
        <w:rPr>
          <w:rFonts w:hint="eastAsia" w:ascii="仿宋" w:hAnsi="仿宋" w:eastAsia="仿宋" w:cs="仿宋"/>
          <w:bCs/>
          <w:color w:val="auto"/>
          <w:sz w:val="24"/>
          <w:highlight w:val="none"/>
        </w:rPr>
        <w:t>。</w:t>
      </w:r>
    </w:p>
    <w:p w14:paraId="4FCAE833">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highlight w:val="none"/>
        </w:rPr>
        <w:t>五、</w:t>
      </w:r>
      <w:r>
        <w:rPr>
          <w:rFonts w:hint="eastAsia" w:ascii="仿宋" w:hAnsi="仿宋" w:eastAsia="仿宋" w:cs="仿宋"/>
          <w:b/>
          <w:color w:val="auto"/>
          <w:sz w:val="24"/>
          <w:szCs w:val="24"/>
          <w:highlight w:val="none"/>
        </w:rPr>
        <w:t>落实商品包装、快递包装政府采购需求标准</w:t>
      </w:r>
    </w:p>
    <w:p w14:paraId="5894B5C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Cs w:val="21"/>
          <w:highlight w:val="none"/>
        </w:rPr>
      </w:pPr>
      <w:r>
        <w:rPr>
          <w:rFonts w:hint="eastAsia" w:ascii="仿宋" w:hAnsi="仿宋" w:eastAsia="仿宋" w:cs="仿宋"/>
          <w:bCs/>
          <w:color w:val="auto"/>
          <w:sz w:val="24"/>
          <w:szCs w:val="24"/>
          <w:highlight w:val="none"/>
        </w:rPr>
        <w:t>供应商所投产品需进行商品包装和快递包装的，应不低于《关于印发〈商品包装政府采购需求标准（试行）〉、〈快递包装政府采购需求标准（试行）〉的通知》（财办库〔2020〕123号）文件规定的参考标准。在履约验收时按照本条款执行，违反本约定的对照合同违约条款追究违约责任。供应商一旦参与本项目投标，即完全响应本条款要求。</w:t>
      </w:r>
    </w:p>
    <w:p w14:paraId="7C5E10D2">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00" w:lineRule="exact"/>
        <w:ind w:firstLine="482" w:firstLineChars="200"/>
        <w:textAlignment w:val="auto"/>
        <w:rPr>
          <w:rFonts w:hint="eastAsia" w:ascii="仿宋" w:hAnsi="仿宋" w:eastAsia="仿宋" w:cs="仿宋"/>
          <w:color w:val="auto"/>
          <w:highlight w:val="none"/>
        </w:rPr>
      </w:pPr>
      <w:r>
        <w:rPr>
          <w:rFonts w:hint="eastAsia" w:ascii="仿宋" w:hAnsi="仿宋" w:eastAsia="仿宋" w:cs="仿宋"/>
          <w:b/>
          <w:color w:val="auto"/>
          <w:sz w:val="24"/>
          <w:highlight w:val="none"/>
        </w:rPr>
        <w:t>六、验收要求</w:t>
      </w:r>
    </w:p>
    <w:p w14:paraId="23492F4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val="en-US" w:eastAsia="zh-CN"/>
        </w:rPr>
        <w:t>.</w:t>
      </w:r>
      <w:r>
        <w:rPr>
          <w:rFonts w:hint="eastAsia" w:ascii="仿宋" w:hAnsi="仿宋" w:eastAsia="仿宋" w:cs="仿宋"/>
          <w:bCs/>
          <w:color w:val="auto"/>
          <w:sz w:val="24"/>
          <w:szCs w:val="24"/>
          <w:highlight w:val="none"/>
        </w:rPr>
        <w:t>验收方案</w:t>
      </w:r>
    </w:p>
    <w:p w14:paraId="0051EA4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验收主体：宿迁市洋河新区社会事业局。</w:t>
      </w:r>
    </w:p>
    <w:p w14:paraId="62A79B6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验收时间：</w:t>
      </w:r>
      <w:r>
        <w:rPr>
          <w:rFonts w:hint="eastAsia" w:ascii="仿宋" w:hAnsi="仿宋" w:eastAsia="仿宋" w:cs="仿宋"/>
          <w:bCs/>
          <w:color w:val="auto"/>
          <w:sz w:val="24"/>
          <w:szCs w:val="24"/>
          <w:highlight w:val="none"/>
          <w:lang w:eastAsia="zh-CN"/>
        </w:rPr>
        <w:t>洋河新区2025年农业生产物资采购项目</w:t>
      </w:r>
      <w:r>
        <w:rPr>
          <w:rFonts w:hint="eastAsia" w:ascii="仿宋" w:hAnsi="仿宋" w:eastAsia="仿宋" w:cs="仿宋"/>
          <w:color w:val="auto"/>
          <w:sz w:val="24"/>
          <w:szCs w:val="24"/>
          <w:highlight w:val="none"/>
          <w:lang w:eastAsia="zh-CN"/>
        </w:rPr>
        <w:t>（采购包</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eastAsia="zh-CN"/>
        </w:rPr>
        <w:t>）</w:t>
      </w:r>
      <w:r>
        <w:rPr>
          <w:rFonts w:hint="eastAsia" w:ascii="仿宋" w:hAnsi="仿宋" w:eastAsia="仿宋" w:cs="仿宋"/>
          <w:bCs/>
          <w:color w:val="auto"/>
          <w:sz w:val="24"/>
          <w:szCs w:val="24"/>
          <w:highlight w:val="none"/>
        </w:rPr>
        <w:t>供货完成后，由</w:t>
      </w:r>
      <w:r>
        <w:rPr>
          <w:rFonts w:hint="eastAsia" w:ascii="仿宋" w:hAnsi="仿宋" w:eastAsia="仿宋" w:cs="仿宋"/>
          <w:bCs/>
          <w:color w:val="auto"/>
          <w:sz w:val="24"/>
          <w:szCs w:val="24"/>
          <w:highlight w:val="none"/>
          <w:lang w:eastAsia="zh-CN"/>
        </w:rPr>
        <w:t>成交供应商</w:t>
      </w:r>
      <w:r>
        <w:rPr>
          <w:rFonts w:hint="eastAsia" w:ascii="仿宋" w:hAnsi="仿宋" w:eastAsia="仿宋" w:cs="仿宋"/>
          <w:bCs/>
          <w:color w:val="auto"/>
          <w:sz w:val="24"/>
          <w:szCs w:val="24"/>
          <w:highlight w:val="none"/>
        </w:rPr>
        <w:t>准备资料并提交验收申请，采购人在接到申请后3个工作日内组织开展验收。</w:t>
      </w:r>
    </w:p>
    <w:p w14:paraId="557DA95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验收标准：货物质量标准合格。</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须提供</w:t>
      </w:r>
      <w:r>
        <w:rPr>
          <w:rFonts w:hint="eastAsia" w:ascii="仿宋" w:hAnsi="仿宋" w:eastAsia="仿宋" w:cs="仿宋"/>
          <w:color w:val="auto"/>
          <w:sz w:val="24"/>
          <w:szCs w:val="24"/>
          <w:highlight w:val="none"/>
          <w:lang w:val="en-US" w:eastAsia="zh-CN"/>
        </w:rPr>
        <w:t>具</w:t>
      </w:r>
      <w:r>
        <w:rPr>
          <w:rFonts w:hint="eastAsia" w:ascii="仿宋" w:hAnsi="仿宋" w:eastAsia="仿宋" w:cs="仿宋"/>
          <w:color w:val="auto"/>
          <w:sz w:val="24"/>
          <w:szCs w:val="24"/>
          <w:highlight w:val="none"/>
        </w:rPr>
        <w:t>有检测资质的第三方检测机构出具的该批次产品检测合格报告，</w:t>
      </w:r>
      <w:r>
        <w:rPr>
          <w:rFonts w:hint="eastAsia" w:ascii="仿宋" w:hAnsi="仿宋" w:eastAsia="仿宋" w:cs="仿宋"/>
          <w:bCs/>
          <w:color w:val="auto"/>
          <w:sz w:val="24"/>
          <w:szCs w:val="24"/>
          <w:highlight w:val="none"/>
        </w:rPr>
        <w:t>符合本项目询价文件采购需求及要求、响应文件及其承诺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采购人根据实际情况随机抽检样品的检测费用由成交供应商承担）</w:t>
      </w:r>
      <w:r>
        <w:rPr>
          <w:rFonts w:hint="eastAsia" w:ascii="仿宋" w:hAnsi="仿宋" w:eastAsia="仿宋" w:cs="仿宋"/>
          <w:bCs/>
          <w:color w:val="auto"/>
          <w:sz w:val="24"/>
          <w:szCs w:val="24"/>
          <w:highlight w:val="none"/>
        </w:rPr>
        <w:t>。</w:t>
      </w:r>
    </w:p>
    <w:p w14:paraId="706A5AC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r>
        <w:rPr>
          <w:rFonts w:hint="eastAsia" w:ascii="仿宋" w:hAnsi="仿宋" w:eastAsia="仿宋" w:cs="仿宋"/>
          <w:bCs/>
          <w:color w:val="auto"/>
          <w:sz w:val="24"/>
          <w:szCs w:val="24"/>
          <w:highlight w:val="none"/>
          <w:lang w:val="en-US" w:eastAsia="zh-CN"/>
        </w:rPr>
        <w:t>.</w:t>
      </w:r>
      <w:r>
        <w:rPr>
          <w:rFonts w:hint="eastAsia" w:ascii="仿宋" w:hAnsi="仿宋" w:eastAsia="仿宋" w:cs="仿宋"/>
          <w:bCs/>
          <w:color w:val="auto"/>
          <w:sz w:val="24"/>
          <w:szCs w:val="24"/>
          <w:highlight w:val="none"/>
        </w:rPr>
        <w:t>验收小组由三人以上成员组成，按照国家标准或行业标准或企业标准、</w:t>
      </w:r>
      <w:r>
        <w:rPr>
          <w:rFonts w:hint="eastAsia" w:ascii="仿宋" w:hAnsi="仿宋" w:eastAsia="仿宋" w:cs="仿宋"/>
          <w:bCs/>
          <w:color w:val="auto"/>
          <w:sz w:val="24"/>
          <w:szCs w:val="24"/>
          <w:highlight w:val="none"/>
          <w:lang w:eastAsia="zh-CN"/>
        </w:rPr>
        <w:t>成交供应商</w:t>
      </w:r>
      <w:r>
        <w:rPr>
          <w:rFonts w:hint="eastAsia" w:ascii="仿宋" w:hAnsi="仿宋" w:eastAsia="仿宋" w:cs="仿宋"/>
          <w:bCs/>
          <w:color w:val="auto"/>
          <w:sz w:val="24"/>
          <w:szCs w:val="24"/>
          <w:highlight w:val="none"/>
        </w:rPr>
        <w:t>响应文件及采购合同的约定进行，采购人按照采购合同的约定对每一项技术、服务、安全标准的履约情况进行确认，并出具验收报告，列明各项标准的验收情况及项目总体评价</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由验收双方共同签署。验收内容主要包括：货物规格</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参数）</w:t>
      </w:r>
      <w:r>
        <w:rPr>
          <w:rFonts w:hint="eastAsia" w:ascii="仿宋" w:hAnsi="仿宋" w:eastAsia="仿宋" w:cs="仿宋"/>
          <w:bCs/>
          <w:color w:val="auto"/>
          <w:sz w:val="24"/>
          <w:szCs w:val="24"/>
          <w:highlight w:val="none"/>
        </w:rPr>
        <w:t>、数量、外观质量、包装、所提供货物的装箱清单等。如发现有与合同规定不符的</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向</w:t>
      </w:r>
      <w:r>
        <w:rPr>
          <w:rFonts w:hint="eastAsia" w:ascii="仿宋" w:hAnsi="仿宋" w:eastAsia="仿宋" w:cs="仿宋"/>
          <w:bCs/>
          <w:color w:val="auto"/>
          <w:sz w:val="24"/>
          <w:szCs w:val="24"/>
          <w:highlight w:val="none"/>
          <w:lang w:eastAsia="zh-CN"/>
        </w:rPr>
        <w:t>成交供应商</w:t>
      </w:r>
      <w:r>
        <w:rPr>
          <w:rFonts w:hint="eastAsia" w:ascii="仿宋" w:hAnsi="仿宋" w:eastAsia="仿宋" w:cs="仿宋"/>
          <w:bCs/>
          <w:color w:val="auto"/>
          <w:sz w:val="24"/>
          <w:szCs w:val="24"/>
          <w:highlight w:val="none"/>
        </w:rPr>
        <w:t>提出书面意见；</w:t>
      </w:r>
      <w:r>
        <w:rPr>
          <w:rFonts w:hint="eastAsia" w:ascii="仿宋" w:hAnsi="仿宋" w:eastAsia="仿宋" w:cs="仿宋"/>
          <w:bCs/>
          <w:color w:val="auto"/>
          <w:sz w:val="24"/>
          <w:szCs w:val="24"/>
          <w:highlight w:val="none"/>
          <w:lang w:eastAsia="zh-CN"/>
        </w:rPr>
        <w:t>成交供应商</w:t>
      </w:r>
      <w:r>
        <w:rPr>
          <w:rFonts w:hint="eastAsia" w:ascii="仿宋" w:hAnsi="仿宋" w:eastAsia="仿宋" w:cs="仿宋"/>
          <w:bCs/>
          <w:color w:val="auto"/>
          <w:sz w:val="24"/>
          <w:szCs w:val="24"/>
          <w:highlight w:val="none"/>
        </w:rPr>
        <w:t>接到书面意见立即予以处理，达到整改要求后方为验收通过，并出具验收报告。</w:t>
      </w:r>
    </w:p>
    <w:p w14:paraId="4985FED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w:t>
      </w:r>
      <w:r>
        <w:rPr>
          <w:rFonts w:hint="eastAsia" w:ascii="仿宋" w:hAnsi="仿宋" w:eastAsia="仿宋" w:cs="仿宋"/>
          <w:bCs/>
          <w:color w:val="auto"/>
          <w:sz w:val="24"/>
          <w:szCs w:val="24"/>
          <w:highlight w:val="none"/>
          <w:lang w:val="en-US" w:eastAsia="zh-CN"/>
        </w:rPr>
        <w:t>.</w:t>
      </w:r>
      <w:r>
        <w:rPr>
          <w:rFonts w:hint="eastAsia" w:ascii="仿宋" w:hAnsi="仿宋" w:eastAsia="仿宋" w:cs="仿宋"/>
          <w:bCs/>
          <w:color w:val="auto"/>
          <w:sz w:val="24"/>
          <w:szCs w:val="24"/>
          <w:highlight w:val="none"/>
        </w:rPr>
        <w:t>如有必要，采购人邀请参加本项目的其他供应商或第三方专业机构及专家参与验收，相关意见将作为验收书的参考资料。</w:t>
      </w:r>
    </w:p>
    <w:p w14:paraId="4A5C016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w:t>
      </w:r>
      <w:r>
        <w:rPr>
          <w:rFonts w:hint="eastAsia" w:ascii="仿宋" w:hAnsi="仿宋" w:eastAsia="仿宋" w:cs="仿宋"/>
          <w:bCs/>
          <w:color w:val="auto"/>
          <w:sz w:val="24"/>
          <w:szCs w:val="24"/>
          <w:highlight w:val="none"/>
          <w:lang w:val="en-US" w:eastAsia="zh-CN"/>
        </w:rPr>
        <w:t>.</w:t>
      </w:r>
      <w:r>
        <w:rPr>
          <w:rFonts w:hint="eastAsia" w:ascii="仿宋" w:hAnsi="仿宋" w:eastAsia="仿宋" w:cs="仿宋"/>
          <w:bCs/>
          <w:color w:val="auto"/>
          <w:sz w:val="24"/>
          <w:szCs w:val="24"/>
          <w:highlight w:val="none"/>
        </w:rPr>
        <w:t>验收结果与采购合同约定的资金支付挂钩。验收合格的项目</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采购人根据采购合同的约定及时向</w:t>
      </w:r>
      <w:r>
        <w:rPr>
          <w:rFonts w:hint="eastAsia" w:ascii="仿宋" w:hAnsi="仿宋" w:eastAsia="仿宋" w:cs="仿宋"/>
          <w:bCs/>
          <w:color w:val="auto"/>
          <w:sz w:val="24"/>
          <w:szCs w:val="24"/>
          <w:highlight w:val="none"/>
          <w:lang w:eastAsia="zh-CN"/>
        </w:rPr>
        <w:t>成交供应商</w:t>
      </w:r>
      <w:r>
        <w:rPr>
          <w:rFonts w:hint="eastAsia" w:ascii="仿宋" w:hAnsi="仿宋" w:eastAsia="仿宋" w:cs="仿宋"/>
          <w:bCs/>
          <w:color w:val="auto"/>
          <w:sz w:val="24"/>
          <w:szCs w:val="24"/>
          <w:highlight w:val="none"/>
        </w:rPr>
        <w:t>支付合同款项。履约验收的各项资料存档备查。</w:t>
      </w:r>
    </w:p>
    <w:p w14:paraId="010F342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w:t>
      </w:r>
      <w:r>
        <w:rPr>
          <w:rFonts w:hint="eastAsia" w:ascii="仿宋" w:hAnsi="仿宋" w:eastAsia="仿宋" w:cs="仿宋"/>
          <w:bCs/>
          <w:color w:val="auto"/>
          <w:sz w:val="24"/>
          <w:szCs w:val="24"/>
          <w:highlight w:val="none"/>
          <w:lang w:val="en-US" w:eastAsia="zh-CN"/>
        </w:rPr>
        <w:t>.</w:t>
      </w:r>
      <w:r>
        <w:rPr>
          <w:rFonts w:hint="eastAsia" w:ascii="仿宋" w:hAnsi="仿宋" w:eastAsia="仿宋" w:cs="仿宋"/>
          <w:bCs/>
          <w:color w:val="auto"/>
          <w:sz w:val="24"/>
          <w:szCs w:val="24"/>
          <w:highlight w:val="none"/>
        </w:rPr>
        <w:t>采购合同的履行、违约责任和解决争议的方式等适用《</w:t>
      </w:r>
      <w:r>
        <w:rPr>
          <w:rFonts w:hint="eastAsia" w:ascii="仿宋" w:hAnsi="仿宋" w:eastAsia="仿宋" w:cs="仿宋"/>
          <w:bCs/>
          <w:color w:val="auto"/>
          <w:sz w:val="24"/>
          <w:szCs w:val="24"/>
          <w:highlight w:val="none"/>
          <w:lang w:eastAsia="zh-CN"/>
        </w:rPr>
        <w:t>中华人民共和国民法典</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eastAsia="zh-CN"/>
        </w:rPr>
        <w:t>成交供应商</w:t>
      </w:r>
      <w:r>
        <w:rPr>
          <w:rFonts w:hint="eastAsia" w:ascii="仿宋" w:hAnsi="仿宋" w:eastAsia="仿宋" w:cs="仿宋"/>
          <w:bCs/>
          <w:color w:val="auto"/>
          <w:sz w:val="24"/>
          <w:szCs w:val="24"/>
          <w:highlight w:val="none"/>
        </w:rPr>
        <w:t>在履约过程中有政府采购法律法规规定的违法违规情形的</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采购人将及时报告本级财政部门。</w:t>
      </w:r>
    </w:p>
    <w:p w14:paraId="3A075D5F">
      <w:pPr>
        <w:keepNext w:val="0"/>
        <w:keepLines w:val="0"/>
        <w:pageBreakBefore w:val="0"/>
        <w:widowControl w:val="0"/>
        <w:kinsoku/>
        <w:wordWrap/>
        <w:overflowPunct/>
        <w:topLinePunct w:val="0"/>
        <w:autoSpaceDE/>
        <w:autoSpaceDN/>
        <w:bidi w:val="0"/>
        <w:spacing w:line="560" w:lineRule="exact"/>
        <w:ind w:firstLine="480" w:firstLineChars="200"/>
        <w:textAlignment w:val="auto"/>
        <w:rPr>
          <w:rFonts w:hint="eastAsia" w:ascii="仿宋" w:hAnsi="仿宋" w:eastAsia="仿宋" w:cs="仿宋"/>
          <w:color w:val="auto"/>
          <w:sz w:val="24"/>
          <w:szCs w:val="24"/>
          <w:highlight w:val="none"/>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1" w:fontKey="{9A129CFF-E787-4820-914A-BBEA066EE66D}"/>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GE1ZjA3OWVhYTQxNzRkYmQwYTJjYjg4OGRkYTAifQ=="/>
  </w:docVars>
  <w:rsids>
    <w:rsidRoot w:val="417E5596"/>
    <w:rsid w:val="108C51BC"/>
    <w:rsid w:val="3048375D"/>
    <w:rsid w:val="335D2E44"/>
    <w:rsid w:val="3400182C"/>
    <w:rsid w:val="417E5596"/>
    <w:rsid w:val="49F05C68"/>
    <w:rsid w:val="53F513BE"/>
    <w:rsid w:val="6C4E3B5B"/>
    <w:rsid w:val="79061B14"/>
    <w:rsid w:val="7FFF1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
    <w:name w:val="正文_16_0_0"/>
    <w:next w:val="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
    <w:name w:val="正文缩进_1_0_0"/>
    <w:basedOn w:val="5"/>
    <w:unhideWhenUsed/>
    <w:qFormat/>
    <w:uiPriority w:val="0"/>
    <w:pPr>
      <w:widowControl/>
      <w:spacing w:beforeLines="0" w:afterLines="0"/>
      <w:ind w:firstLine="420"/>
      <w:jc w:val="left"/>
    </w:pPr>
    <w:rPr>
      <w:rFonts w:hint="eastAsia" w:ascii="Times New Roman" w:hAnsi="Times New Roman" w:eastAsia="Times New Roman"/>
      <w:sz w:val="20"/>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2388</Words>
  <Characters>2550</Characters>
  <Lines>0</Lines>
  <Paragraphs>0</Paragraphs>
  <TotalTime>0</TotalTime>
  <ScaleCrop>false</ScaleCrop>
  <LinksUpToDate>false</LinksUpToDate>
  <CharactersWithSpaces>2556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2024-07-06T06:52:00Z</dcterms:created>
  <dc:creator>左手</dc:creator>
  <cp:lastModifiedBy>   </cp:lastModifiedBy>
  <dcterms:modified xsi:type="dcterms:W3CDTF">2025-08-28T09:04:56Z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84B20006B08A4494900AEF82CB38CA53_11</vt:lpwstr>
  </property>
  <property fmtid="{D5CDD505-2E9C-101B-9397-08002B2CF9AE}" pid="4" name="KSOTemplateDocerSaveRecord">
    <vt:lpwstr>eyJoZGlkIjoiZDM1YjE5MTlhNWEwZjZiMWQ0YTdlZmViNzUzZTQwM2IiLCJ1c2VySWQiOiIxNTg0Nzg5NjU1In0=</vt:lpwstr>
  </property>
</Properties>
</file>